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rPr>
          <w:rFonts w:ascii="Arial" w:cs="Arial" w:eastAsia="Arial" w:hAnsi="Arial"/>
          <w:b/>
          <w:bCs/>
        </w:rPr>
        <w:t xml:space="preserve">HƯỚNG DẪN THU THẬP &amp; LƯU GIỮ BẰNG CHỨNG</w:t>
      </w:r>
    </w:p>
    <w:p>
      <w:pPr>
        <w:spacing w:after="160"/>
        <w:jc w:val="center"/>
      </w:pPr>
      <w:r>
        <w:rPr>
          <w:rFonts w:ascii="Arial" w:cs="Arial" w:eastAsia="Arial" w:hAnsi="Arial"/>
          <w:i/>
          <w:iCs/>
          <w:color w:val="5A6B64"/>
          <w:sz w:val="22"/>
          <w:szCs w:val="22"/>
        </w:rPr>
        <w:t xml:space="preserve">EVIDENCE COLLECTION &amp; PRESERVATION GUIDE</w:t>
      </w:r>
    </w:p>
    <w:p>
      <w:pPr>
        <w:spacing w:after="120"/>
      </w:pPr>
      <w:r>
        <w:rPr>
          <w:rFonts w:ascii="Arial" w:cs="Arial" w:eastAsia="Arial" w:hAnsi="Arial"/>
        </w:rPr>
        <w:t xml:space="preserve">Hồ sơ chứng cứ đầy đủ giúp bạn có cơ sở khiếu nại, khởi kiện hoặc tố giác khi xảy ra tranh chấp với nhà cung cấp tại Việt Nam.</w:t>
      </w:r>
    </w:p>
    <w:p>
      <w:pPr>
        <w:spacing w:after="120"/>
      </w:pPr>
      <w:r>
        <w:rPr>
          <w:rFonts w:ascii="Arial" w:cs="Arial" w:eastAsia="Arial" w:hAnsi="Arial"/>
          <w:i/>
          <w:iCs/>
          <w:color w:val="5A6B64"/>
          <w:sz w:val="20"/>
          <w:szCs w:val="20"/>
        </w:rPr>
        <w:t xml:space="preserve">A complete evidence file gives you the basis to complain, sue, or report to police in a dispute with a Vietnamese supplier.</w:t>
      </w:r>
    </w:p>
    <w:p>
      <w:pPr>
        <w:pStyle w:val="Heading2"/>
      </w:pPr>
      <w:r>
        <w:rPr>
          <w:rFonts w:ascii="Arial" w:cs="Arial" w:eastAsia="Arial" w:hAnsi="Arial"/>
          <w:b/>
          <w:bCs/>
        </w:rPr>
        <w:t xml:space="preserve">1. Danh mục cần lưu giữ</w:t>
      </w:r>
      <w:r>
        <w:rPr>
          <w:rFonts w:ascii="Arial" w:cs="Arial" w:eastAsia="Arial" w:hAnsi="Arial"/>
          <w:b w:val="false"/>
          <w:bCs w:val="false"/>
          <w:i/>
          <w:iCs/>
          <w:color w:val="5A6B64"/>
          <w:sz w:val="22"/>
          <w:szCs w:val="22"/>
        </w:rPr>
        <w:t xml:space="preserve">  —  What to keep</w:t>
      </w:r>
    </w:p>
    <w:p>
      <w:pPr>
        <w:pStyle w:val="ListParagraph"/>
        <w:numPr>
          <w:ilvl w:val="0"/>
          <w:numId w:val="2"/>
        </w:numPr>
        <w:spacing w:after="20"/>
      </w:pPr>
      <w:r>
        <w:rPr>
          <w:rFonts w:ascii="Arial" w:cs="Arial" w:eastAsia="Arial" w:hAnsi="Arial"/>
        </w:rPr>
        <w:t xml:space="preserve">Hợp đồng, phụ lục, đơn đặt hàng (PO), hóa đơn chiếu lệ (PI), mẫu đã duyệt.</w:t>
      </w:r>
    </w:p>
    <w:p>
      <w:pPr>
        <w:pStyle w:val="ListParagraph"/>
        <w:numPr>
          <w:ilvl w:val="0"/>
          <w:numId w:val="2"/>
        </w:numPr>
        <w:spacing w:after="120"/>
      </w:pPr>
      <w:r>
        <w:rPr>
          <w:rFonts w:ascii="Arial" w:cs="Arial" w:eastAsia="Arial" w:hAnsi="Arial"/>
          <w:i/>
          <w:iCs/>
          <w:color w:val="5A6B64"/>
          <w:sz w:val="20"/>
          <w:szCs w:val="20"/>
        </w:rPr>
        <w:t xml:space="preserve">Contract, annexes, PO, proforma invoice (PI), the approved sample.</w:t>
      </w:r>
    </w:p>
    <w:p>
      <w:pPr>
        <w:pStyle w:val="ListParagraph"/>
        <w:numPr>
          <w:ilvl w:val="0"/>
          <w:numId w:val="2"/>
        </w:numPr>
        <w:spacing w:after="20"/>
      </w:pPr>
      <w:r>
        <w:rPr>
          <w:rFonts w:ascii="Arial" w:cs="Arial" w:eastAsia="Arial" w:hAnsi="Arial"/>
        </w:rPr>
        <w:t xml:space="preserve">Biên bản đặt cọc &amp; toàn bộ chứng từ chuyển tiền (sao kê ngân hàng, SWIFT/UTR).</w:t>
      </w:r>
    </w:p>
    <w:p>
      <w:pPr>
        <w:pStyle w:val="ListParagraph"/>
        <w:numPr>
          <w:ilvl w:val="0"/>
          <w:numId w:val="2"/>
        </w:numPr>
        <w:spacing w:after="120"/>
      </w:pPr>
      <w:r>
        <w:rPr>
          <w:rFonts w:ascii="Arial" w:cs="Arial" w:eastAsia="Arial" w:hAnsi="Arial"/>
          <w:i/>
          <w:iCs/>
          <w:color w:val="5A6B64"/>
          <w:sz w:val="20"/>
          <w:szCs w:val="20"/>
        </w:rPr>
        <w:t xml:space="preserve">Deposit confirmation &amp; all payment proofs (bank statement, SWIFT/UTR).</w:t>
      </w:r>
    </w:p>
    <w:p>
      <w:pPr>
        <w:pStyle w:val="ListParagraph"/>
        <w:numPr>
          <w:ilvl w:val="0"/>
          <w:numId w:val="2"/>
        </w:numPr>
        <w:spacing w:after="20"/>
      </w:pPr>
      <w:r>
        <w:rPr>
          <w:rFonts w:ascii="Arial" w:cs="Arial" w:eastAsia="Arial" w:hAnsi="Arial"/>
        </w:rPr>
        <w:t xml:space="preserve">Toàn bộ email và tin nhắn (WhatsApp/WeChat/Zalo) — xuất file kèm ngày giờ.</w:t>
      </w:r>
    </w:p>
    <w:p>
      <w:pPr>
        <w:pStyle w:val="ListParagraph"/>
        <w:numPr>
          <w:ilvl w:val="0"/>
          <w:numId w:val="2"/>
        </w:numPr>
        <w:spacing w:after="120"/>
      </w:pPr>
      <w:r>
        <w:rPr>
          <w:rFonts w:ascii="Arial" w:cs="Arial" w:eastAsia="Arial" w:hAnsi="Arial"/>
          <w:i/>
          <w:iCs/>
          <w:color w:val="5A6B64"/>
          <w:sz w:val="20"/>
          <w:szCs w:val="20"/>
        </w:rPr>
        <w:t xml:space="preserve">All emails and chats (WhatsApp/WeChat/Zalo) — export with timestamps.</w:t>
      </w:r>
    </w:p>
    <w:p>
      <w:pPr>
        <w:pStyle w:val="ListParagraph"/>
        <w:numPr>
          <w:ilvl w:val="0"/>
          <w:numId w:val="2"/>
        </w:numPr>
        <w:spacing w:after="20"/>
      </w:pPr>
      <w:r>
        <w:rPr>
          <w:rFonts w:ascii="Arial" w:cs="Arial" w:eastAsia="Arial" w:hAnsi="Arial"/>
        </w:rPr>
        <w:t xml:space="preserve">Vận đơn (B/L), packing list, C/O, chứng nhận chất lượng, báo cáo giám định.</w:t>
      </w:r>
    </w:p>
    <w:p>
      <w:pPr>
        <w:pStyle w:val="ListParagraph"/>
        <w:numPr>
          <w:ilvl w:val="0"/>
          <w:numId w:val="2"/>
        </w:numPr>
        <w:spacing w:after="120"/>
      </w:pPr>
      <w:r>
        <w:rPr>
          <w:rFonts w:ascii="Arial" w:cs="Arial" w:eastAsia="Arial" w:hAnsi="Arial"/>
          <w:i/>
          <w:iCs/>
          <w:color w:val="5A6B64"/>
          <w:sz w:val="20"/>
          <w:szCs w:val="20"/>
        </w:rPr>
        <w:t xml:space="preserve">B/L, packing list, C/O, quality certificates, inspection reports.</w:t>
      </w:r>
    </w:p>
    <w:p>
      <w:pPr>
        <w:pStyle w:val="ListParagraph"/>
        <w:numPr>
          <w:ilvl w:val="0"/>
          <w:numId w:val="2"/>
        </w:numPr>
        <w:spacing w:after="20"/>
      </w:pPr>
      <w:r>
        <w:rPr>
          <w:rFonts w:ascii="Arial" w:cs="Arial" w:eastAsia="Arial" w:hAnsi="Arial"/>
        </w:rPr>
        <w:t xml:space="preserve">Ảnh/video hàng hóa lỗi, ảnh nhà xưởng; thông tin pháp nhân đối tác (giấy phép, MST).</w:t>
      </w:r>
    </w:p>
    <w:p>
      <w:pPr>
        <w:pStyle w:val="ListParagraph"/>
        <w:numPr>
          <w:ilvl w:val="0"/>
          <w:numId w:val="2"/>
        </w:numPr>
        <w:spacing w:after="120"/>
      </w:pPr>
      <w:r>
        <w:rPr>
          <w:rFonts w:ascii="Arial" w:cs="Arial" w:eastAsia="Arial" w:hAnsi="Arial"/>
          <w:i/>
          <w:iCs/>
          <w:color w:val="5A6B64"/>
          <w:sz w:val="20"/>
          <w:szCs w:val="20"/>
        </w:rPr>
        <w:t xml:space="preserve">Photos/videos of defects, factory photos; supplier legal info (license, tax code).</w:t>
      </w:r>
    </w:p>
    <w:p>
      <w:pPr>
        <w:pStyle w:val="Heading2"/>
      </w:pPr>
      <w:r>
        <w:rPr>
          <w:rFonts w:ascii="Arial" w:cs="Arial" w:eastAsia="Arial" w:hAnsi="Arial"/>
          <w:b/>
          <w:bCs/>
        </w:rPr>
        <w:t xml:space="preserve">2. Cách lưu giữ để có giá trị pháp lý</w:t>
      </w:r>
      <w:r>
        <w:rPr>
          <w:rFonts w:ascii="Arial" w:cs="Arial" w:eastAsia="Arial" w:hAnsi="Arial"/>
          <w:b w:val="false"/>
          <w:bCs w:val="false"/>
          <w:i/>
          <w:iCs/>
          <w:color w:val="5A6B64"/>
          <w:sz w:val="22"/>
          <w:szCs w:val="22"/>
        </w:rPr>
        <w:t xml:space="preserve">  —  How to preserve for legal value</w:t>
      </w:r>
    </w:p>
    <w:p>
      <w:pPr>
        <w:pStyle w:val="ListParagraph"/>
        <w:numPr>
          <w:ilvl w:val="0"/>
          <w:numId w:val="2"/>
        </w:numPr>
        <w:spacing w:after="20"/>
      </w:pPr>
      <w:r>
        <w:rPr>
          <w:rFonts w:ascii="Arial" w:cs="Arial" w:eastAsia="Arial" w:hAnsi="Arial"/>
        </w:rPr>
        <w:t xml:space="preserve">Giữ BẢN GỐC; với bản sao quan trọng nên công chứng/chứng thực.</w:t>
      </w:r>
    </w:p>
    <w:p>
      <w:pPr>
        <w:pStyle w:val="ListParagraph"/>
        <w:numPr>
          <w:ilvl w:val="0"/>
          <w:numId w:val="2"/>
        </w:numPr>
        <w:spacing w:after="120"/>
      </w:pPr>
      <w:r>
        <w:rPr>
          <w:rFonts w:ascii="Arial" w:cs="Arial" w:eastAsia="Arial" w:hAnsi="Arial"/>
          <w:i/>
          <w:iCs/>
          <w:color w:val="5A6B64"/>
          <w:sz w:val="20"/>
          <w:szCs w:val="20"/>
        </w:rPr>
        <w:t xml:space="preserve">Keep ORIGINALS; have key copies notarized/authenticated.</w:t>
      </w:r>
    </w:p>
    <w:p>
      <w:pPr>
        <w:pStyle w:val="ListParagraph"/>
        <w:numPr>
          <w:ilvl w:val="0"/>
          <w:numId w:val="2"/>
        </w:numPr>
        <w:spacing w:after="20"/>
      </w:pPr>
      <w:r>
        <w:rPr>
          <w:rFonts w:ascii="Arial" w:cs="Arial" w:eastAsia="Arial" w:hAnsi="Arial"/>
        </w:rPr>
        <w:t xml:space="preserve">Lấy sao kê ngân hàng có xác nhận của ngân hàng cho các giao dịch chuyển tiền.</w:t>
      </w:r>
    </w:p>
    <w:p>
      <w:pPr>
        <w:pStyle w:val="ListParagraph"/>
        <w:numPr>
          <w:ilvl w:val="0"/>
          <w:numId w:val="2"/>
        </w:numPr>
        <w:spacing w:after="120"/>
      </w:pPr>
      <w:r>
        <w:rPr>
          <w:rFonts w:ascii="Arial" w:cs="Arial" w:eastAsia="Arial" w:hAnsi="Arial"/>
          <w:i/>
          <w:iCs/>
          <w:color w:val="5A6B64"/>
          <w:sz w:val="20"/>
          <w:szCs w:val="20"/>
        </w:rPr>
        <w:t xml:space="preserve">Get bank-certified statements for each transfer.</w:t>
      </w:r>
    </w:p>
    <w:p>
      <w:pPr>
        <w:pStyle w:val="ListParagraph"/>
        <w:numPr>
          <w:ilvl w:val="0"/>
          <w:numId w:val="2"/>
        </w:numPr>
        <w:spacing w:after="20"/>
      </w:pPr>
      <w:r>
        <w:rPr>
          <w:rFonts w:ascii="Arial" w:cs="Arial" w:eastAsia="Arial" w:hAnsi="Arial"/>
        </w:rPr>
        <w:t xml:space="preserve">Cân nhắc lập VI BẰNG qua Thừa phát lại để ghi nhận email/tin nhắn/hiện trạng hàng (chứng cứ mạnh tại Việt Nam).</w:t>
      </w:r>
    </w:p>
    <w:p>
      <w:pPr>
        <w:pStyle w:val="ListParagraph"/>
        <w:numPr>
          <w:ilvl w:val="0"/>
          <w:numId w:val="2"/>
        </w:numPr>
        <w:spacing w:after="120"/>
      </w:pPr>
      <w:r>
        <w:rPr>
          <w:rFonts w:ascii="Arial" w:cs="Arial" w:eastAsia="Arial" w:hAnsi="Arial"/>
          <w:i/>
          <w:iCs/>
          <w:color w:val="5A6B64"/>
          <w:sz w:val="20"/>
          <w:szCs w:val="20"/>
        </w:rPr>
        <w:t xml:space="preserve">Consider a bailiff record (vi bằng) by a Thừa phát lại office to capture chats/condition — strong evidence in Vietnam.</w:t>
      </w:r>
    </w:p>
    <w:p>
      <w:pPr>
        <w:pStyle w:val="ListParagraph"/>
        <w:numPr>
          <w:ilvl w:val="0"/>
          <w:numId w:val="2"/>
        </w:numPr>
        <w:spacing w:after="20"/>
      </w:pPr>
      <w:r>
        <w:rPr>
          <w:rFonts w:ascii="Arial" w:cs="Arial" w:eastAsia="Arial" w:hAnsi="Arial"/>
        </w:rPr>
        <w:t xml:space="preserve">Sao lưu nhiều nơi, đặt tên file theo ngày, không chỉnh sửa bản gốc.</w:t>
      </w:r>
    </w:p>
    <w:p>
      <w:pPr>
        <w:pStyle w:val="ListParagraph"/>
        <w:numPr>
          <w:ilvl w:val="0"/>
          <w:numId w:val="2"/>
        </w:numPr>
        <w:spacing w:after="120"/>
      </w:pPr>
      <w:r>
        <w:rPr>
          <w:rFonts w:ascii="Arial" w:cs="Arial" w:eastAsia="Arial" w:hAnsi="Arial"/>
          <w:i/>
          <w:iCs/>
          <w:color w:val="5A6B64"/>
          <w:sz w:val="20"/>
          <w:szCs w:val="20"/>
        </w:rPr>
        <w:t xml:space="preserve">Back up in multiple places, name files by date, never alter originals.</w:t>
      </w:r>
    </w:p>
    <w:p>
      <w:pPr>
        <w:pStyle w:val="Heading2"/>
      </w:pPr>
      <w:r>
        <w:rPr>
          <w:rFonts w:ascii="Arial" w:cs="Arial" w:eastAsia="Arial" w:hAnsi="Arial"/>
          <w:b/>
          <w:bCs/>
        </w:rPr>
        <w:t xml:space="preserve">3. Các bước xử lý khi tranh chấp</w:t>
      </w:r>
      <w:r>
        <w:rPr>
          <w:rFonts w:ascii="Arial" w:cs="Arial" w:eastAsia="Arial" w:hAnsi="Arial"/>
          <w:b w:val="false"/>
          <w:bCs w:val="false"/>
          <w:i/>
          <w:iCs/>
          <w:color w:val="5A6B64"/>
          <w:sz w:val="22"/>
          <w:szCs w:val="22"/>
        </w:rPr>
        <w:t xml:space="preserve">  —  Escalation steps</w:t>
      </w:r>
    </w:p>
    <w:p>
      <w:pPr>
        <w:pStyle w:val="ListParagraph"/>
        <w:numPr>
          <w:ilvl w:val="0"/>
          <w:numId w:val="2"/>
        </w:numPr>
        <w:spacing w:after="20"/>
      </w:pPr>
      <w:r>
        <w:rPr>
          <w:rFonts w:ascii="Arial" w:cs="Arial" w:eastAsia="Arial" w:hAnsi="Arial"/>
        </w:rPr>
        <w:t xml:space="preserve">Bước 1 — Gửi ĐƠN YÊU CẦU/khiếu nại bằng văn bản, ấn định thời hạn khắc phục.</w:t>
      </w:r>
    </w:p>
    <w:p>
      <w:pPr>
        <w:pStyle w:val="ListParagraph"/>
        <w:numPr>
          <w:ilvl w:val="0"/>
          <w:numId w:val="2"/>
        </w:numPr>
        <w:spacing w:after="120"/>
      </w:pPr>
      <w:r>
        <w:rPr>
          <w:rFonts w:ascii="Arial" w:cs="Arial" w:eastAsia="Arial" w:hAnsi="Arial"/>
          <w:i/>
          <w:iCs/>
          <w:color w:val="5A6B64"/>
          <w:sz w:val="20"/>
          <w:szCs w:val="20"/>
        </w:rPr>
        <w:t xml:space="preserve">Step 1 — Send a written formal demand with a deadline to remedy.</w:t>
      </w:r>
    </w:p>
    <w:p>
      <w:pPr>
        <w:pStyle w:val="ListParagraph"/>
        <w:numPr>
          <w:ilvl w:val="0"/>
          <w:numId w:val="2"/>
        </w:numPr>
        <w:spacing w:after="20"/>
      </w:pPr>
      <w:r>
        <w:rPr>
          <w:rFonts w:ascii="Arial" w:cs="Arial" w:eastAsia="Arial" w:hAnsi="Arial"/>
        </w:rPr>
        <w:t xml:space="preserve">Bước 2 — Thương lượng/hòa giải; nếu hợp đồng có điều khoản trọng tài, khởi kiện tại VIAC.</w:t>
      </w:r>
    </w:p>
    <w:p>
      <w:pPr>
        <w:pStyle w:val="ListParagraph"/>
        <w:numPr>
          <w:ilvl w:val="0"/>
          <w:numId w:val="2"/>
        </w:numPr>
        <w:spacing w:after="120"/>
      </w:pPr>
      <w:r>
        <w:rPr>
          <w:rFonts w:ascii="Arial" w:cs="Arial" w:eastAsia="Arial" w:hAnsi="Arial"/>
          <w:i/>
          <w:iCs/>
          <w:color w:val="5A6B64"/>
          <w:sz w:val="20"/>
          <w:szCs w:val="20"/>
        </w:rPr>
        <w:t xml:space="preserve">Step 2 — Negotiate/mediate; if the contract has an arbitration clause, file at VIAC.</w:t>
      </w:r>
    </w:p>
    <w:p>
      <w:pPr>
        <w:pStyle w:val="ListParagraph"/>
        <w:numPr>
          <w:ilvl w:val="0"/>
          <w:numId w:val="2"/>
        </w:numPr>
        <w:spacing w:after="20"/>
      </w:pPr>
      <w:r>
        <w:rPr>
          <w:rFonts w:ascii="Arial" w:cs="Arial" w:eastAsia="Arial" w:hAnsi="Arial"/>
        </w:rPr>
        <w:t xml:space="preserve">Bước 3 — Khởi kiện tại Tòa án có thẩm quyền của Việt Nam (tranh chấp dân sự/thương mại).</w:t>
      </w:r>
    </w:p>
    <w:p>
      <w:pPr>
        <w:pStyle w:val="ListParagraph"/>
        <w:numPr>
          <w:ilvl w:val="0"/>
          <w:numId w:val="2"/>
        </w:numPr>
        <w:spacing w:after="120"/>
      </w:pPr>
      <w:r>
        <w:rPr>
          <w:rFonts w:ascii="Arial" w:cs="Arial" w:eastAsia="Arial" w:hAnsi="Arial"/>
          <w:i/>
          <w:iCs/>
          <w:color w:val="5A6B64"/>
          <w:sz w:val="20"/>
          <w:szCs w:val="20"/>
        </w:rPr>
        <w:t xml:space="preserve">Step 3 — Sue at a competent Vietnamese court (civil/commercial dispute).</w:t>
      </w:r>
    </w:p>
    <w:p>
      <w:pPr>
        <w:pStyle w:val="ListParagraph"/>
        <w:numPr>
          <w:ilvl w:val="0"/>
          <w:numId w:val="2"/>
        </w:numPr>
        <w:spacing w:after="20"/>
      </w:pPr>
      <w:r>
        <w:rPr>
          <w:rFonts w:ascii="Arial" w:cs="Arial" w:eastAsia="Arial" w:hAnsi="Arial"/>
        </w:rPr>
        <w:t xml:space="preserve">Bước 4 — Nếu có dấu hiệu hình sự (lừa đảo chiếm đoạt), nộp ĐƠN TỐ GIÁC tới Cơ quan CSĐT.</w:t>
      </w:r>
    </w:p>
    <w:p>
      <w:pPr>
        <w:pStyle w:val="ListParagraph"/>
        <w:numPr>
          <w:ilvl w:val="0"/>
          <w:numId w:val="2"/>
        </w:numPr>
        <w:spacing w:after="120"/>
      </w:pPr>
      <w:r>
        <w:rPr>
          <w:rFonts w:ascii="Arial" w:cs="Arial" w:eastAsia="Arial" w:hAnsi="Arial"/>
          <w:i/>
          <w:iCs/>
          <w:color w:val="5A6B64"/>
          <w:sz w:val="20"/>
          <w:szCs w:val="20"/>
        </w:rPr>
        <w:t xml:space="preserve">Step 4 — If criminal signs (fraud), file a CRIME REPORT with the Police Investigation Agency.</w:t>
      </w:r>
    </w:p>
    <w:p>
      <w:pPr>
        <w:pStyle w:val="Heading2"/>
      </w:pPr>
      <w:r>
        <w:rPr>
          <w:rFonts w:ascii="Arial" w:cs="Arial" w:eastAsia="Arial" w:hAnsi="Arial"/>
          <w:b/>
          <w:bCs/>
        </w:rPr>
        <w:t xml:space="preserve">4. Căn cứ pháp lý chính</w:t>
      </w:r>
      <w:r>
        <w:rPr>
          <w:rFonts w:ascii="Arial" w:cs="Arial" w:eastAsia="Arial" w:hAnsi="Arial"/>
          <w:b w:val="false"/>
          <w:bCs w:val="false"/>
          <w:i/>
          <w:iCs/>
          <w:color w:val="5A6B64"/>
          <w:sz w:val="22"/>
          <w:szCs w:val="22"/>
        </w:rPr>
        <w:t xml:space="preserve">  —  Key legal references</w:t>
      </w:r>
    </w:p>
    <w:p>
      <w:pPr>
        <w:spacing w:after="120"/>
      </w:pPr>
      <w:r>
        <w:rPr>
          <w:rFonts w:ascii="Arial" w:cs="Arial" w:eastAsia="Arial" w:hAnsi="Arial"/>
          <w:sz w:val="20"/>
          <w:szCs w:val="20"/>
        </w:rPr>
        <w:t xml:space="preserve">Bộ luật Dân sự 2015 (HĐ, đặt cọc — Điều 328); Luật Thương mại 2005 (phạt — Điều 301, bồi thường — Điều 302); Luật Trọng tài Thương mại 2010; Bộ luật Hình sự 2015 (lừa đảo — Điều 174); Bộ luật Tố tụng Hình sự 2015 (tố giác — Điều 144).</w:t>
      </w:r>
    </w:p>
    <w:p>
      <w:pPr>
        <w:pBdr>
          <w:top w:val="single" w:color="9A7B1E" w:sz="6" w:space="6"/>
        </w:pBdr>
        <w:spacing w:after="60" w:before="240"/>
      </w:pPr>
      <w:r>
        <w:rPr>
          <w:rFonts w:ascii="Arial" w:cs="Arial" w:eastAsia="Arial" w:hAnsi="Arial"/>
          <w:b/>
          <w:bCs/>
          <w:color w:val="9A7B1E"/>
          <w:sz w:val="18"/>
          <w:szCs w:val="18"/>
        </w:rPr>
        <w:t xml:space="preserve">LƯU Ý PHÁP LÝ / LEGAL NOTICE: </w:t>
      </w:r>
      <w:r>
        <w:rPr>
          <w:rFonts w:ascii="Arial" w:cs="Arial" w:eastAsia="Arial" w:hAnsi="Arial"/>
          <w:color w:val="5A6B64"/>
          <w:sz w:val="18"/>
          <w:szCs w:val="18"/>
        </w:rPr>
        <w:t xml:space="preserve">Đây là BIỂU MẪU THAM KHẢO do LELOI GLOBAL cung cấp, soạn theo quy định pháp luật Việt Nam hiện hành; KHÔNG phải tư vấn pháp lý cho vụ việc cụ thể. Vui lòng điều chỉnh cho phù hợp giao dịch của bạn và tham vấn luật sư có thẩm quyền trước khi sử dụng. </w:t>
      </w:r>
      <w:r>
        <w:rPr>
          <w:rFonts w:ascii="Arial" w:cs="Arial" w:eastAsia="Arial" w:hAnsi="Arial"/>
          <w:i/>
          <w:iCs/>
          <w:color w:val="5A6B64"/>
          <w:sz w:val="18"/>
          <w:szCs w:val="18"/>
        </w:rPr>
        <w:t xml:space="preserve">This is a REFERENCE TEMPLATE by LELOI GLOBAL, drafted in line with current Vietnamese law; it is NOT legal advice. Adapt it to your transaction and consult a qualified Vietnamese lawyer before use.</w:t>
      </w:r>
    </w:p>
    <w:sectPr>
      <w:headerReference w:type="default" r:id="rId7"/>
      <w:footerReference w:type="default" r:id="rId8"/>
      <w:pgSz w:w="11906" w:h="16838" w:orient="portrait"/>
      <w:pgMar w:top="1300" w:right="1300" w:bottom="13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E8E1" w:sz="4" w:space="4"/>
      </w:pBdr>
      <w:jc w:val="center"/>
    </w:pPr>
    <w:r>
      <w:rPr>
        <w:rFonts w:ascii="Arial" w:cs="Arial" w:eastAsia="Arial" w:hAnsi="Arial"/>
        <w:color w:val="5A6B64"/>
        <w:sz w:val="16"/>
        <w:szCs w:val="16"/>
      </w:rPr>
      <w:t xml:space="preserve">© LELOI GLOBAL — Biểu mẫu tham khảo / Reference template — Trang </w:t>
    </w:r>
    <w:r>
      <w:rPr>
        <w:color w:val="5A6B64"/>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E5C46" w:sz="6" w:space="4"/>
      </w:pBdr>
    </w:pPr>
    <w:r>
      <w:rPr>
        <w:rFonts w:ascii="Arial" w:cs="Arial" w:eastAsia="Arial" w:hAnsi="Arial"/>
        <w:b/>
        <w:bCs/>
        <w:color w:val="0E5C46"/>
      </w:rPr>
      <w:t xml:space="preserve">LELOI GLOBAL  </w:t>
    </w:r>
    <w:r>
      <w:rPr>
        <w:rFonts w:ascii="Arial" w:cs="Arial" w:eastAsia="Arial" w:hAnsi="Arial"/>
        <w:color w:val="5A6B64"/>
        <w:sz w:val="18"/>
        <w:szCs w:val="18"/>
      </w:rPr>
      <w:t xml:space="preserve">— Trust &amp; Intelligence Hub — leloiglobal.com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Arial" w:cs="Arial" w:eastAsia="Arial" w:hAnsi="Arial"/>
      <w:b/>
      <w:bCs/>
      <w:color w:val="0E5C46"/>
      <w:sz w:val="30"/>
      <w:szCs w:val="30"/>
    </w:rPr>
  </w:style>
  <w:style w:type="paragraph" w:styleId="Heading2">
    <w:name w:val="Heading 2"/>
    <w:basedOn w:val="Normal"/>
    <w:next w:val="Normal"/>
    <w:qFormat/>
    <w:pPr>
      <w:spacing w:after="80" w:before="200"/>
      <w:outlineLvl w:val="1"/>
    </w:pPr>
    <w:rPr>
      <w:rFonts w:ascii="Arial" w:cs="Arial" w:eastAsia="Arial" w:hAnsi="Arial"/>
      <w:b/>
      <w:bCs/>
      <w:color w:val="0E5C4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2026-06-10T05:35:49.130Z</dcterms:created>
  <dcterms:modified xsi:type="dcterms:W3CDTF">2026-06-10T05:35:49.130Z</dcterms:modified>
</cp:coreProperties>
</file>

<file path=docProps/custom.xml><?xml version="1.0" encoding="utf-8"?>
<Properties xmlns="http://schemas.openxmlformats.org/officeDocument/2006/custom-properties" xmlns:vt="http://schemas.openxmlformats.org/officeDocument/2006/docPropsVTypes"/>
</file>