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rPr>
          <w:rFonts w:ascii="Arial" w:cs="Arial" w:eastAsia="Arial" w:hAnsi="Arial"/>
          <w:b/>
          <w:bCs/>
        </w:rPr>
        <w:t xml:space="preserve">CỘNG HÒA XÃ HỘI CHỦ NGHĨA VIỆT NAM</w:t>
      </w:r>
    </w:p>
    <w:p>
      <w:pPr>
        <w:spacing w:after="120"/>
        <w:jc w:val="center"/>
      </w:pPr>
      <w:r>
        <w:rPr>
          <w:rFonts w:ascii="Arial" w:cs="Arial" w:eastAsia="Arial" w:hAnsi="Arial"/>
          <w:b/>
          <w:bCs/>
        </w:rPr>
        <w:t xml:space="preserve">Độc lập – Tự do – Hạnh phúc</w:t>
      </w:r>
    </w:p>
    <w:p>
      <w:pPr>
        <w:spacing w:after="120"/>
        <w:jc w:val="center"/>
      </w:pPr>
      <w:r>
        <w:rPr>
          <w:rFonts w:ascii="Arial" w:cs="Arial" w:eastAsia="Arial" w:hAnsi="Arial"/>
        </w:rPr>
        <w:t xml:space="preserve">------------------------------</w:t>
      </w:r>
    </w:p>
    <w:p>
      <w:pPr>
        <w:spacing w:after="80"/>
      </w:pPr>
    </w:p>
    <w:p>
      <w:pPr>
        <w:pStyle w:val="Heading1"/>
        <w:jc w:val="center"/>
      </w:pPr>
      <w:r>
        <w:rPr>
          <w:rFonts w:ascii="Arial" w:cs="Arial" w:eastAsia="Arial" w:hAnsi="Arial"/>
          <w:b/>
          <w:bCs/>
        </w:rPr>
        <w:t xml:space="preserve">HỢP ĐỒNG MUA BÁN HÀNG HÓA QUỐC TẾ</w:t>
      </w:r>
    </w:p>
    <w:p>
      <w:pPr>
        <w:spacing w:after="160"/>
        <w:jc w:val="center"/>
      </w:pPr>
      <w:r>
        <w:rPr>
          <w:rFonts w:ascii="Arial" w:cs="Arial" w:eastAsia="Arial" w:hAnsi="Arial"/>
          <w:i/>
          <w:iCs/>
          <w:color w:val="5A6B64"/>
          <w:sz w:val="22"/>
          <w:szCs w:val="22"/>
        </w:rPr>
        <w:t xml:space="preserve">INTERNATIONAL SALES CONTRACT (buyer-protection template)</w:t>
      </w:r>
    </w:p>
    <w:p>
      <w:pPr>
        <w:spacing w:after="120"/>
      </w:pPr>
      <w:r>
        <w:rPr>
          <w:rFonts w:ascii="Arial" w:cs="Arial" w:eastAsia="Arial" w:hAnsi="Arial"/>
          <w:color w:val="5A6B64"/>
          <w:sz w:val="20"/>
          <w:szCs w:val="20"/>
        </w:rPr>
        <w:t xml:space="preserve">Số / No: ....../HĐMB-......        Ngày / Date: ...../...../............</w:t>
      </w:r>
    </w:p>
    <w:p>
      <w:pPr>
        <w:spacing w:after="120"/>
      </w:pPr>
      <w:r>
        <w:rPr>
          <w:rFonts w:ascii="Arial" w:cs="Arial" w:eastAsia="Arial" w:hAnsi="Arial"/>
        </w:rPr>
        <w:t xml:space="preserve">Căn cứ Bộ luật Dân sự số 91/2015/QH13; Luật Thương mại số 36/2005/QH11 và các văn bản hướng dẫn thi hành.</w:t>
      </w:r>
    </w:p>
    <w:p>
      <w:pPr>
        <w:spacing w:after="120"/>
      </w:pPr>
      <w:r>
        <w:rPr>
          <w:rFonts w:ascii="Arial" w:cs="Arial" w:eastAsia="Arial" w:hAnsi="Arial"/>
          <w:i/>
          <w:iCs/>
          <w:color w:val="5A6B64"/>
          <w:sz w:val="20"/>
          <w:szCs w:val="20"/>
        </w:rPr>
        <w:t xml:space="preserve">Pursuant to the Civil Code No. 91/2015/QH13; the Commercial Law No. 36/2005/QH11 and guiding regulations.</w:t>
      </w:r>
    </w:p>
    <w:p>
      <w:pPr>
        <w:spacing w:after="120"/>
      </w:pPr>
      <w:r>
        <w:rPr>
          <w:rFonts w:ascii="Arial" w:cs="Arial" w:eastAsia="Arial" w:hAnsi="Arial"/>
          <w:b/>
          <w:bCs/>
        </w:rPr>
        <w:t xml:space="preserve">BÊN BÁN / SELLER (Bên A): </w:t>
      </w:r>
      <w:r>
        <w:rPr>
          <w:rFonts w:ascii="Arial" w:cs="Arial" w:eastAsia="Arial" w:hAnsi="Arial"/>
        </w:rPr>
        <w:t xml:space="preserve">...........................................................................</w:t>
      </w:r>
    </w:p>
    <w:p>
      <w:pPr>
        <w:spacing w:after="120"/>
      </w:pPr>
      <w:r>
        <w:rPr>
          <w:rFonts w:ascii="Arial" w:cs="Arial" w:eastAsia="Arial" w:hAnsi="Arial"/>
          <w:sz w:val="20"/>
          <w:szCs w:val="20"/>
        </w:rPr>
        <w:t xml:space="preserve">Địa chỉ / Address: ....................  MST/Tax code: ....................  Người đại diện / Rep.: ....................</w:t>
      </w:r>
    </w:p>
    <w:p>
      <w:pPr>
        <w:spacing w:after="120"/>
      </w:pPr>
      <w:r>
        <w:rPr>
          <w:rFonts w:ascii="Arial" w:cs="Arial" w:eastAsia="Arial" w:hAnsi="Arial"/>
          <w:b/>
          <w:bCs/>
        </w:rPr>
        <w:t xml:space="preserve">BÊN MUA / BUYER (Bên B): </w:t>
      </w:r>
      <w:r>
        <w:rPr>
          <w:rFonts w:ascii="Arial" w:cs="Arial" w:eastAsia="Arial" w:hAnsi="Arial"/>
        </w:rPr>
        <w:t xml:space="preserve">...........................................................................</w:t>
      </w:r>
    </w:p>
    <w:p>
      <w:pPr>
        <w:spacing w:after="120"/>
      </w:pPr>
      <w:r>
        <w:rPr>
          <w:rFonts w:ascii="Arial" w:cs="Arial" w:eastAsia="Arial" w:hAnsi="Arial"/>
          <w:sz w:val="20"/>
          <w:szCs w:val="20"/>
        </w:rPr>
        <w:t xml:space="preserve">Địa chỉ / Address: ....................  Người đại diện / Rep.: ....................</w:t>
      </w:r>
    </w:p>
    <w:p>
      <w:pPr>
        <w:pStyle w:val="Heading2"/>
      </w:pPr>
      <w:r>
        <w:rPr>
          <w:rFonts w:ascii="Arial" w:cs="Arial" w:eastAsia="Arial" w:hAnsi="Arial"/>
          <w:b/>
          <w:bCs/>
        </w:rPr>
        <w:t xml:space="preserve">Điều 1. Đối tượng &amp; tiêu chuẩn chất lượng</w:t>
      </w:r>
      <w:r>
        <w:rPr>
          <w:rFonts w:ascii="Arial" w:cs="Arial" w:eastAsia="Arial" w:hAnsi="Arial"/>
          <w:b w:val="false"/>
          <w:bCs w:val="false"/>
          <w:i/>
          <w:iCs/>
          <w:color w:val="5A6B64"/>
          <w:sz w:val="22"/>
          <w:szCs w:val="22"/>
        </w:rPr>
        <w:t xml:space="preserve">  —  Goods &amp; quality standard</w:t>
      </w:r>
    </w:p>
    <w:p>
      <w:pPr>
        <w:spacing w:after="120"/>
      </w:pPr>
      <w:r>
        <w:rPr>
          <w:rFonts w:ascii="Arial" w:cs="Arial" w:eastAsia="Arial" w:hAnsi="Arial"/>
        </w:rPr>
        <w:t xml:space="preserve">Hàng hóa: ....................; quy cách/thông số: .................... Mẫu đã được hai bên ký duyệt là MỘT PHẦN KHÔNG TÁCH RỜI của Hợp đồng và là chuẩn đối chiếu chất lượng khi giao hàng.</w:t>
      </w:r>
    </w:p>
    <w:p>
      <w:pPr>
        <w:spacing w:after="120"/>
      </w:pPr>
      <w:r>
        <w:rPr>
          <w:rFonts w:ascii="Arial" w:cs="Arial" w:eastAsia="Arial" w:hAnsi="Arial"/>
          <w:i/>
          <w:iCs/>
          <w:color w:val="5A6B64"/>
          <w:sz w:val="20"/>
          <w:szCs w:val="20"/>
        </w:rPr>
        <w:t xml:space="preserve">Goods: ....; specs: .... The sample signed off by both parties is an INTEGRAL PART of this Contract and the benchmark for quality at delivery.</w:t>
      </w:r>
    </w:p>
    <w:p>
      <w:pPr>
        <w:pStyle w:val="Heading2"/>
      </w:pPr>
      <w:r>
        <w:rPr>
          <w:rFonts w:ascii="Arial" w:cs="Arial" w:eastAsia="Arial" w:hAnsi="Arial"/>
          <w:b/>
          <w:bCs/>
        </w:rPr>
        <w:t xml:space="preserve">Điều 2. Số lượng, đơn giá, giá trị</w:t>
      </w:r>
      <w:r>
        <w:rPr>
          <w:rFonts w:ascii="Arial" w:cs="Arial" w:eastAsia="Arial" w:hAnsi="Arial"/>
          <w:b w:val="false"/>
          <w:bCs w:val="false"/>
          <w:i/>
          <w:iCs/>
          <w:color w:val="5A6B64"/>
          <w:sz w:val="22"/>
          <w:szCs w:val="22"/>
        </w:rPr>
        <w:t xml:space="preserve">  —  Quantity, unit price, value</w:t>
      </w:r>
    </w:p>
    <w:p>
      <w:pPr>
        <w:spacing w:after="120"/>
      </w:pPr>
      <w:r>
        <w:rPr>
          <w:rFonts w:ascii="Arial" w:cs="Arial" w:eastAsia="Arial" w:hAnsi="Arial"/>
        </w:rPr>
        <w:t xml:space="preserve">Số lượng: ....  Đơn giá: ....  Tổng giá trị: .... (bằng chữ: ....). Đồng tiền thanh toán: ....</w:t>
      </w:r>
    </w:p>
    <w:p>
      <w:pPr>
        <w:spacing w:after="120"/>
      </w:pPr>
      <w:r>
        <w:rPr>
          <w:rFonts w:ascii="Arial" w:cs="Arial" w:eastAsia="Arial" w:hAnsi="Arial"/>
          <w:i/>
          <w:iCs/>
          <w:color w:val="5A6B64"/>
          <w:sz w:val="20"/>
          <w:szCs w:val="20"/>
        </w:rPr>
        <w:t xml:space="preserve">Quantity: ....  Unit price: ....  Total value: .... (in words: ....). Currency: ....</w:t>
      </w:r>
    </w:p>
    <w:p>
      <w:pPr>
        <w:pStyle w:val="Heading2"/>
      </w:pPr>
      <w:r>
        <w:rPr>
          <w:rFonts w:ascii="Arial" w:cs="Arial" w:eastAsia="Arial" w:hAnsi="Arial"/>
          <w:b/>
          <w:bCs/>
        </w:rPr>
        <w:t xml:space="preserve">Điều 3. Thanh toán (bảo vệ người mua)</w:t>
      </w:r>
      <w:r>
        <w:rPr>
          <w:rFonts w:ascii="Arial" w:cs="Arial" w:eastAsia="Arial" w:hAnsi="Arial"/>
          <w:b w:val="false"/>
          <w:bCs w:val="false"/>
          <w:i/>
          <w:iCs/>
          <w:color w:val="5A6B64"/>
          <w:sz w:val="22"/>
          <w:szCs w:val="22"/>
        </w:rPr>
        <w:t xml:space="preserve">  —  Payment (buyer protection)</w:t>
      </w:r>
    </w:p>
    <w:p>
      <w:pPr>
        <w:spacing w:after="120"/>
      </w:pPr>
      <w:r>
        <w:rPr>
          <w:rFonts w:ascii="Arial" w:cs="Arial" w:eastAsia="Arial" w:hAnsi="Arial"/>
        </w:rPr>
        <w:t xml:space="preserve">Đặt cọc: ....% giá trị khi ký HĐ (lập Biên bản đặt cọc kèm theo). Số dư chỉ thanh toán SAU KHI hàng ĐẠT giám định trước giao hàng (Điều 5). Bên Mua được giữ lại ....% giá trị làm khoản bảo đảm cho tới khi nghiệm thu hàng tại điểm đến.</w:t>
      </w:r>
    </w:p>
    <w:p>
      <w:pPr>
        <w:spacing w:after="120"/>
      </w:pPr>
      <w:r>
        <w:rPr>
          <w:rFonts w:ascii="Arial" w:cs="Arial" w:eastAsia="Arial" w:hAnsi="Arial"/>
          <w:i/>
          <w:iCs/>
          <w:color w:val="5A6B64"/>
          <w:sz w:val="20"/>
          <w:szCs w:val="20"/>
        </w:rPr>
        <w:t xml:space="preserve">Deposit: ....% on signing (see attached Deposit Confirmation). The balance is paid ONLY AFTER goods PASS pre-shipment inspection (Art. 5). Buyer may retain ....% as security until acceptance at destination.</w:t>
      </w:r>
    </w:p>
    <w:p>
      <w:pPr>
        <w:pStyle w:val="Heading2"/>
      </w:pPr>
      <w:r>
        <w:rPr>
          <w:rFonts w:ascii="Arial" w:cs="Arial" w:eastAsia="Arial" w:hAnsi="Arial"/>
          <w:b/>
          <w:bCs/>
        </w:rPr>
        <w:t xml:space="preserve">Điều 4. Giao hàng</w:t>
      </w:r>
      <w:r>
        <w:rPr>
          <w:rFonts w:ascii="Arial" w:cs="Arial" w:eastAsia="Arial" w:hAnsi="Arial"/>
          <w:b w:val="false"/>
          <w:bCs w:val="false"/>
          <w:i/>
          <w:iCs/>
          <w:color w:val="5A6B64"/>
          <w:sz w:val="22"/>
          <w:szCs w:val="22"/>
        </w:rPr>
        <w:t xml:space="preserve">  —  Delivery</w:t>
      </w:r>
    </w:p>
    <w:p>
      <w:pPr>
        <w:spacing w:after="120"/>
      </w:pPr>
      <w:r>
        <w:rPr>
          <w:rFonts w:ascii="Arial" w:cs="Arial" w:eastAsia="Arial" w:hAnsi="Arial"/>
        </w:rPr>
        <w:t xml:space="preserve">Điều kiện: Incoterms 2020 ....  Cảng đi/đến: ....  Thời hạn: ....  Chứng từ: vận đơn (B/L), packing list, hóa đơn, C/O, chứng nhận chất lượng (CQ).</w:t>
      </w:r>
    </w:p>
    <w:p>
      <w:pPr>
        <w:spacing w:after="120"/>
      </w:pPr>
      <w:r>
        <w:rPr>
          <w:rFonts w:ascii="Arial" w:cs="Arial" w:eastAsia="Arial" w:hAnsi="Arial"/>
          <w:i/>
          <w:iCs/>
          <w:color w:val="5A6B64"/>
          <w:sz w:val="20"/>
          <w:szCs w:val="20"/>
        </w:rPr>
        <w:t xml:space="preserve">Terms: Incoterms 2020 ....  Port of loading/discharge: ....  Time: ....  Documents: B/L, packing list, invoice, C/O, certificate of quality.</w:t>
      </w:r>
    </w:p>
    <w:p>
      <w:pPr>
        <w:pStyle w:val="Heading2"/>
      </w:pPr>
      <w:r>
        <w:rPr>
          <w:rFonts w:ascii="Arial" w:cs="Arial" w:eastAsia="Arial" w:hAnsi="Arial"/>
          <w:b/>
          <w:bCs/>
        </w:rPr>
        <w:t xml:space="preserve">Điều 5. Kiểm tra chất lượng &amp; quyền giám định độc lập</w:t>
      </w:r>
      <w:r>
        <w:rPr>
          <w:rFonts w:ascii="Arial" w:cs="Arial" w:eastAsia="Arial" w:hAnsi="Arial"/>
          <w:b w:val="false"/>
          <w:bCs w:val="false"/>
          <w:i/>
          <w:iCs/>
          <w:color w:val="5A6B64"/>
          <w:sz w:val="22"/>
          <w:szCs w:val="22"/>
        </w:rPr>
        <w:t xml:space="preserve">  —  Quality check &amp; independent inspection right</w:t>
      </w:r>
    </w:p>
    <w:p>
      <w:pPr>
        <w:spacing w:after="120"/>
      </w:pPr>
      <w:r>
        <w:rPr>
          <w:rFonts w:ascii="Arial" w:cs="Arial" w:eastAsia="Arial" w:hAnsi="Arial"/>
        </w:rPr>
        <w:t xml:space="preserve">Bên Mua hoặc đơn vị giám định độc lập do Bên Mua chỉ định (vd LELOI GLOBAL / tổ chức giám định) có quyền kiểm tra hàng TẠI XƯỞNG trước khi xuất. Hàng chỉ được phép xuất sau khi có Báo cáo giám định ĐẠT. Nếu hàng KHÔNG ĐẠT, chi phí tái giám định do Bên Bán chịu.</w:t>
      </w:r>
    </w:p>
    <w:p>
      <w:pPr>
        <w:spacing w:after="120"/>
      </w:pPr>
      <w:r>
        <w:rPr>
          <w:rFonts w:ascii="Arial" w:cs="Arial" w:eastAsia="Arial" w:hAnsi="Arial"/>
          <w:i/>
          <w:iCs/>
          <w:color w:val="5A6B64"/>
          <w:sz w:val="20"/>
          <w:szCs w:val="20"/>
        </w:rPr>
        <w:t xml:space="preserve">Buyer or an independent inspector appointed by Buyer (e.g. LELOI GLOBAL) may inspect goods AT THE FACTORY before shipment. Goods may only ship after a PASS report. If goods FAIL, re-inspection is borne by Seller.</w:t>
      </w:r>
    </w:p>
    <w:p>
      <w:pPr>
        <w:pStyle w:val="Heading2"/>
      </w:pPr>
      <w:r>
        <w:rPr>
          <w:rFonts w:ascii="Arial" w:cs="Arial" w:eastAsia="Arial" w:hAnsi="Arial"/>
          <w:b/>
          <w:bCs/>
        </w:rPr>
        <w:t xml:space="preserve">Điều 6. Hàng không đúng / hàng lỗi</w:t>
      </w:r>
      <w:r>
        <w:rPr>
          <w:rFonts w:ascii="Arial" w:cs="Arial" w:eastAsia="Arial" w:hAnsi="Arial"/>
          <w:b w:val="false"/>
          <w:bCs w:val="false"/>
          <w:i/>
          <w:iCs/>
          <w:color w:val="5A6B64"/>
          <w:sz w:val="22"/>
          <w:szCs w:val="22"/>
        </w:rPr>
        <w:t xml:space="preserve">  —  Non-conforming / defective goods</w:t>
      </w:r>
    </w:p>
    <w:p>
      <w:pPr>
        <w:spacing w:after="120"/>
      </w:pPr>
      <w:r>
        <w:rPr>
          <w:rFonts w:ascii="Arial" w:cs="Arial" w:eastAsia="Arial" w:hAnsi="Arial"/>
        </w:rPr>
        <w:t xml:space="preserve">Nếu hàng không đúng mẫu/tiêu chuẩn, Bên Mua có quyền: từ chối nhận, yêu cầu sửa/đổi, giảm giá, hoàn tiền và/hoặc bồi thường. Thời hạn khiếu nại: .... ngày kể từ ngày nhận hàng.</w:t>
      </w:r>
    </w:p>
    <w:p>
      <w:pPr>
        <w:spacing w:after="120"/>
      </w:pPr>
      <w:r>
        <w:rPr>
          <w:rFonts w:ascii="Arial" w:cs="Arial" w:eastAsia="Arial" w:hAnsi="Arial"/>
          <w:i/>
          <w:iCs/>
          <w:color w:val="5A6B64"/>
          <w:sz w:val="20"/>
          <w:szCs w:val="20"/>
        </w:rPr>
        <w:t xml:space="preserve">If goods do not match the sample/standard, Buyer may: reject, require repair/replacement, price reduction, refund and/or compensation. Claim period: .... days from receipt.</w:t>
      </w:r>
    </w:p>
    <w:p>
      <w:pPr>
        <w:pStyle w:val="Heading2"/>
      </w:pPr>
      <w:r>
        <w:rPr>
          <w:rFonts w:ascii="Arial" w:cs="Arial" w:eastAsia="Arial" w:hAnsi="Arial"/>
          <w:b/>
          <w:bCs/>
        </w:rPr>
        <w:t xml:space="preserve">Điều 7. Phạt vi phạm &amp; bồi thường</w:t>
      </w:r>
      <w:r>
        <w:rPr>
          <w:rFonts w:ascii="Arial" w:cs="Arial" w:eastAsia="Arial" w:hAnsi="Arial"/>
          <w:b w:val="false"/>
          <w:bCs w:val="false"/>
          <w:i/>
          <w:iCs/>
          <w:color w:val="5A6B64"/>
          <w:sz w:val="22"/>
          <w:szCs w:val="22"/>
        </w:rPr>
        <w:t xml:space="preserve">  —  Penalty &amp; damages</w:t>
      </w:r>
    </w:p>
    <w:p>
      <w:pPr>
        <w:spacing w:after="120"/>
      </w:pPr>
      <w:r>
        <w:rPr>
          <w:rFonts w:ascii="Arial" w:cs="Arial" w:eastAsia="Arial" w:hAnsi="Arial"/>
        </w:rPr>
        <w:t xml:space="preserve">Phạt vi phạm tối đa 8% giá trị phần nghĩa vụ bị vi phạm (Điều 301 Luật Thương mại 2005) và bồi thường thiệt hại thực tế, trực tiếp (Điều 302).</w:t>
      </w:r>
    </w:p>
    <w:p>
      <w:pPr>
        <w:spacing w:after="120"/>
      </w:pPr>
      <w:r>
        <w:rPr>
          <w:rFonts w:ascii="Arial" w:cs="Arial" w:eastAsia="Arial" w:hAnsi="Arial"/>
          <w:i/>
          <w:iCs/>
          <w:color w:val="5A6B64"/>
          <w:sz w:val="20"/>
          <w:szCs w:val="20"/>
        </w:rPr>
        <w:t xml:space="preserve">Contractual penalty up to 8% of the value of the breached obligation (Art. 301 Commercial Law 2005), plus actual, direct damages (Art. 302).</w:t>
      </w:r>
    </w:p>
    <w:p>
      <w:pPr>
        <w:pStyle w:val="Heading2"/>
      </w:pPr>
      <w:r>
        <w:rPr>
          <w:rFonts w:ascii="Arial" w:cs="Arial" w:eastAsia="Arial" w:hAnsi="Arial"/>
          <w:b/>
          <w:bCs/>
        </w:rPr>
        <w:t xml:space="preserve">Điều 8. Bất khả kháng</w:t>
      </w:r>
      <w:r>
        <w:rPr>
          <w:rFonts w:ascii="Arial" w:cs="Arial" w:eastAsia="Arial" w:hAnsi="Arial"/>
          <w:b w:val="false"/>
          <w:bCs w:val="false"/>
          <w:i/>
          <w:iCs/>
          <w:color w:val="5A6B64"/>
          <w:sz w:val="22"/>
          <w:szCs w:val="22"/>
        </w:rPr>
        <w:t xml:space="preserve">  —  Force majeure</w:t>
      </w:r>
    </w:p>
    <w:p>
      <w:pPr>
        <w:spacing w:after="120"/>
      </w:pPr>
      <w:r>
        <w:rPr>
          <w:rFonts w:ascii="Arial" w:cs="Arial" w:eastAsia="Arial" w:hAnsi="Arial"/>
        </w:rPr>
        <w:t xml:space="preserve">Các trường hợp bất khả kháng theo Điều 156 Bộ luật Dân sự 2015. Bên gặp sự kiện phải thông báo trong .... ngày.</w:t>
      </w:r>
    </w:p>
    <w:p>
      <w:pPr>
        <w:spacing w:after="120"/>
      </w:pPr>
      <w:r>
        <w:rPr>
          <w:rFonts w:ascii="Arial" w:cs="Arial" w:eastAsia="Arial" w:hAnsi="Arial"/>
          <w:i/>
          <w:iCs/>
          <w:color w:val="5A6B64"/>
          <w:sz w:val="20"/>
          <w:szCs w:val="20"/>
        </w:rPr>
        <w:t xml:space="preserve">Force majeure per Art. 156 Civil Code 2015. The affected party must notify within .... days.</w:t>
      </w:r>
    </w:p>
    <w:p>
      <w:pPr>
        <w:pStyle w:val="Heading2"/>
      </w:pPr>
      <w:r>
        <w:rPr>
          <w:rFonts w:ascii="Arial" w:cs="Arial" w:eastAsia="Arial" w:hAnsi="Arial"/>
          <w:b/>
          <w:bCs/>
        </w:rPr>
        <w:t xml:space="preserve">Điều 9. Giải quyết tranh chấp &amp; luật áp dụng</w:t>
      </w:r>
      <w:r>
        <w:rPr>
          <w:rFonts w:ascii="Arial" w:cs="Arial" w:eastAsia="Arial" w:hAnsi="Arial"/>
          <w:b w:val="false"/>
          <w:bCs w:val="false"/>
          <w:i/>
          <w:iCs/>
          <w:color w:val="5A6B64"/>
          <w:sz w:val="22"/>
          <w:szCs w:val="22"/>
        </w:rPr>
        <w:t xml:space="preserve">  —  Dispute resolution &amp; governing law</w:t>
      </w:r>
    </w:p>
    <w:p>
      <w:pPr>
        <w:spacing w:after="120"/>
      </w:pPr>
      <w:r>
        <w:rPr>
          <w:rFonts w:ascii="Arial" w:cs="Arial" w:eastAsia="Arial" w:hAnsi="Arial"/>
        </w:rPr>
        <w:t xml:space="preserve">Hai bên ưu tiên thương lượng. Nếu không đạt, tranh chấp được giải quyết tại Trung tâm Trọng tài Quốc tế Việt Nam (VIAC) HOẶC Tòa án có thẩm quyền của Việt Nam. Luật áp dụng: pháp luật Việt Nam.</w:t>
      </w:r>
    </w:p>
    <w:p>
      <w:pPr>
        <w:spacing w:after="120"/>
      </w:pPr>
      <w:r>
        <w:rPr>
          <w:rFonts w:ascii="Arial" w:cs="Arial" w:eastAsia="Arial" w:hAnsi="Arial"/>
          <w:i/>
          <w:iCs/>
          <w:color w:val="5A6B64"/>
          <w:sz w:val="20"/>
          <w:szCs w:val="20"/>
        </w:rPr>
        <w:t xml:space="preserve">Parties shall negotiate first. Failing that, disputes are settled at the Vietnam International Arbitration Centre (VIAC) OR a competent Vietnamese court. Governing law: the law of Vietnam.</w:t>
      </w:r>
    </w:p>
    <w:p>
      <w:pPr>
        <w:pStyle w:val="Heading2"/>
      </w:pPr>
      <w:r>
        <w:rPr>
          <w:rFonts w:ascii="Arial" w:cs="Arial" w:eastAsia="Arial" w:hAnsi="Arial"/>
          <w:b/>
          <w:bCs/>
        </w:rPr>
        <w:t xml:space="preserve">Điều 10. Điều khoản chung</w:t>
      </w:r>
      <w:r>
        <w:rPr>
          <w:rFonts w:ascii="Arial" w:cs="Arial" w:eastAsia="Arial" w:hAnsi="Arial"/>
          <w:b w:val="false"/>
          <w:bCs w:val="false"/>
          <w:i/>
          <w:iCs/>
          <w:color w:val="5A6B64"/>
          <w:sz w:val="22"/>
          <w:szCs w:val="22"/>
        </w:rPr>
        <w:t xml:space="preserve">  —  General</w:t>
      </w:r>
    </w:p>
    <w:p>
      <w:pPr>
        <w:spacing w:after="120"/>
      </w:pPr>
      <w:r>
        <w:rPr>
          <w:rFonts w:ascii="Arial" w:cs="Arial" w:eastAsia="Arial" w:hAnsi="Arial"/>
        </w:rPr>
        <w:t xml:space="preserve">Hợp đồng lập bằng tiếng Việt và tiếng Anh, có giá trị như nhau; khi có khác biệt, bản tiếng .... được ưu tiên. Hợp đồng có hiệu lực từ ngày ký, lập thành .... bản.</w:t>
      </w:r>
    </w:p>
    <w:p>
      <w:pPr>
        <w:spacing w:after="120"/>
      </w:pPr>
      <w:r>
        <w:rPr>
          <w:rFonts w:ascii="Arial" w:cs="Arial" w:eastAsia="Arial" w:hAnsi="Arial"/>
          <w:i/>
          <w:iCs/>
          <w:color w:val="5A6B64"/>
          <w:sz w:val="20"/>
          <w:szCs w:val="20"/>
        </w:rPr>
        <w:t xml:space="preserve">Made in Vietnamese and English with equal value; in case of discrepancy, the .... version prevails. Effective from signing, in .... counterparts.</w:t>
      </w:r>
    </w:p>
    <w:p>
      <w:pPr>
        <w:spacing w:after="16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4513"/>
        <w:gridCol w:w="4513"/>
      </w:tblGrid>
      <w:tr>
        <w:tc>
          <w:tcPr>
            <w:tcW w:type="dxa" w:w="4513"/>
            <w:tcBorders>
              <w:top w:val="none" w:color="FFFFFF" w:sz="0"/>
              <w:left w:val="none" w:color="FFFFFF" w:sz="0"/>
              <w:bottom w:val="none" w:color="FFFFFF" w:sz="0"/>
              <w:right w:val="none" w:color="FFFFFF" w:sz="0"/>
            </w:tcBorders>
            <w:tcMar>
              <w:top w:type="dxa" w:w="120"/>
              <w:left w:type="dxa" w:w="80"/>
              <w:bottom w:type="dxa" w:w="200"/>
              <w:right w:type="dxa" w:w="80"/>
            </w:tcMar>
          </w:tcPr>
          <w:p>
            <w:pPr>
              <w:jc w:val="center"/>
            </w:pPr>
            <w:r>
              <w:rPr>
                <w:rFonts w:ascii="Arial" w:cs="Arial" w:eastAsia="Arial" w:hAnsi="Arial"/>
                <w:b/>
                <w:bCs/>
              </w:rPr>
              <w:t xml:space="preserve">BÊN BÁN</w:t>
            </w:r>
          </w:p>
          <w:p>
            <w:pPr>
              <w:spacing w:after="60"/>
              <w:jc w:val="center"/>
            </w:pPr>
            <w:r>
              <w:rPr>
                <w:rFonts w:ascii="Arial" w:cs="Arial" w:eastAsia="Arial" w:hAnsi="Arial"/>
                <w:i/>
                <w:iCs/>
                <w:color w:val="5A6B64"/>
                <w:sz w:val="20"/>
                <w:szCs w:val="20"/>
              </w:rPr>
              <w:t xml:space="preserve">SELLER</w:t>
            </w:r>
          </w:p>
          <w:p>
            <w:pPr>
              <w:jc w:val="center"/>
            </w:pPr>
            <w:r>
              <w:rPr>
                <w:rFonts w:ascii="Arial" w:cs="Arial" w:eastAsia="Arial" w:hAnsi="Arial"/>
                <w:i/>
                <w:iCs/>
                <w:color w:val="5A6B64"/>
                <w:sz w:val="18"/>
                <w:szCs w:val="18"/>
              </w:rPr>
              <w:t xml:space="preserve">(Ký, ghi rõ họ tên / Sign &amp; full name)</w:t>
            </w:r>
          </w:p>
        </w:tc>
        <w:tc>
          <w:tcPr>
            <w:tcW w:type="dxa" w:w="4513"/>
            <w:tcBorders>
              <w:top w:val="none" w:color="FFFFFF" w:sz="0"/>
              <w:left w:val="none" w:color="FFFFFF" w:sz="0"/>
              <w:bottom w:val="none" w:color="FFFFFF" w:sz="0"/>
              <w:right w:val="none" w:color="FFFFFF" w:sz="0"/>
            </w:tcBorders>
            <w:tcMar>
              <w:top w:type="dxa" w:w="120"/>
              <w:left w:type="dxa" w:w="80"/>
              <w:bottom w:type="dxa" w:w="200"/>
              <w:right w:type="dxa" w:w="80"/>
            </w:tcMar>
          </w:tcPr>
          <w:p>
            <w:pPr>
              <w:jc w:val="center"/>
            </w:pPr>
            <w:r>
              <w:rPr>
                <w:rFonts w:ascii="Arial" w:cs="Arial" w:eastAsia="Arial" w:hAnsi="Arial"/>
                <w:b/>
                <w:bCs/>
              </w:rPr>
              <w:t xml:space="preserve">BÊN MUA</w:t>
            </w:r>
          </w:p>
          <w:p>
            <w:pPr>
              <w:spacing w:after="60"/>
              <w:jc w:val="center"/>
            </w:pPr>
            <w:r>
              <w:rPr>
                <w:rFonts w:ascii="Arial" w:cs="Arial" w:eastAsia="Arial" w:hAnsi="Arial"/>
                <w:i/>
                <w:iCs/>
                <w:color w:val="5A6B64"/>
                <w:sz w:val="20"/>
                <w:szCs w:val="20"/>
              </w:rPr>
              <w:t xml:space="preserve">BUYER</w:t>
            </w:r>
          </w:p>
          <w:p>
            <w:pPr>
              <w:jc w:val="center"/>
            </w:pPr>
            <w:r>
              <w:rPr>
                <w:rFonts w:ascii="Arial" w:cs="Arial" w:eastAsia="Arial" w:hAnsi="Arial"/>
                <w:i/>
                <w:iCs/>
                <w:color w:val="5A6B64"/>
                <w:sz w:val="18"/>
                <w:szCs w:val="18"/>
              </w:rPr>
              <w:t xml:space="preserve">(Ký, ghi rõ họ tên / Sign &amp; full name)</w:t>
            </w:r>
          </w:p>
        </w:tc>
      </w:tr>
    </w:tbl>
    <w:p>
      <w:pPr>
        <w:pBdr>
          <w:top w:val="single" w:color="9A7B1E" w:sz="6" w:space="6"/>
        </w:pBdr>
        <w:spacing w:after="60" w:before="240"/>
      </w:pPr>
      <w:r>
        <w:rPr>
          <w:rFonts w:ascii="Arial" w:cs="Arial" w:eastAsia="Arial" w:hAnsi="Arial"/>
          <w:b/>
          <w:bCs/>
          <w:color w:val="9A7B1E"/>
          <w:sz w:val="18"/>
          <w:szCs w:val="18"/>
        </w:rPr>
        <w:t xml:space="preserve">LƯU Ý PHÁP LÝ / LEGAL NOTICE: </w:t>
      </w:r>
      <w:r>
        <w:rPr>
          <w:rFonts w:ascii="Arial" w:cs="Arial" w:eastAsia="Arial" w:hAnsi="Arial"/>
          <w:color w:val="5A6B64"/>
          <w:sz w:val="18"/>
          <w:szCs w:val="18"/>
        </w:rPr>
        <w:t xml:space="preserve">Đây là BIỂU MẪU THAM KHẢO do LELOI GLOBAL cung cấp, soạn theo quy định pháp luật Việt Nam hiện hành; KHÔNG phải tư vấn pháp lý cho vụ việc cụ thể. Vui lòng điều chỉnh cho phù hợp giao dịch của bạn và tham vấn luật sư có thẩm quyền trước khi sử dụng. </w:t>
      </w:r>
      <w:r>
        <w:rPr>
          <w:rFonts w:ascii="Arial" w:cs="Arial" w:eastAsia="Arial" w:hAnsi="Arial"/>
          <w:i/>
          <w:iCs/>
          <w:color w:val="5A6B64"/>
          <w:sz w:val="18"/>
          <w:szCs w:val="18"/>
        </w:rPr>
        <w:t xml:space="preserve">This is a REFERENCE TEMPLATE by LELOI GLOBAL, drafted in line with current Vietnamese law; it is NOT legal advice. Adapt it to your transaction and consult a qualified Vietnamese lawyer before use.</w:t>
      </w:r>
    </w:p>
    <w:sectPr>
      <w:headerReference w:type="default" r:id="rId7"/>
      <w:footerReference w:type="default" r:id="rId8"/>
      <w:pgSz w:w="11906" w:h="16838" w:orient="portrait"/>
      <w:pgMar w:top="1300" w:right="1300" w:bottom="1300" w:left="13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DE8E1" w:sz="4" w:space="4"/>
      </w:pBdr>
      <w:jc w:val="center"/>
    </w:pPr>
    <w:r>
      <w:rPr>
        <w:rFonts w:ascii="Arial" w:cs="Arial" w:eastAsia="Arial" w:hAnsi="Arial"/>
        <w:color w:val="5A6B64"/>
        <w:sz w:val="16"/>
        <w:szCs w:val="16"/>
      </w:rPr>
      <w:t xml:space="preserve">© LELOI GLOBAL — Biểu mẫu tham khảo / Reference template — Trang </w:t>
    </w:r>
    <w:r>
      <w:rPr>
        <w:color w:val="5A6B64"/>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E5C46" w:sz="6" w:space="4"/>
      </w:pBdr>
    </w:pPr>
    <w:r>
      <w:rPr>
        <w:rFonts w:ascii="Arial" w:cs="Arial" w:eastAsia="Arial" w:hAnsi="Arial"/>
        <w:b/>
        <w:bCs/>
        <w:color w:val="0E5C46"/>
      </w:rPr>
      <w:t xml:space="preserve">LELOI GLOBAL  </w:t>
    </w:r>
    <w:r>
      <w:rPr>
        <w:rFonts w:ascii="Arial" w:cs="Arial" w:eastAsia="Arial" w:hAnsi="Arial"/>
        <w:color w:val="5A6B64"/>
        <w:sz w:val="18"/>
        <w:szCs w:val="18"/>
      </w:rPr>
      <w:t xml:space="preserve">— Trust &amp; Intelligence Hub — leloiglobal.com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Arial" w:cs="Arial" w:eastAsia="Arial" w:hAnsi="Arial"/>
      <w:b/>
      <w:bCs/>
      <w:color w:val="0E5C46"/>
      <w:sz w:val="30"/>
      <w:szCs w:val="30"/>
    </w:rPr>
  </w:style>
  <w:style w:type="paragraph" w:styleId="Heading2">
    <w:name w:val="Heading 2"/>
    <w:basedOn w:val="Normal"/>
    <w:next w:val="Normal"/>
    <w:qFormat/>
    <w:pPr>
      <w:spacing w:after="80" w:before="200"/>
      <w:outlineLvl w:val="1"/>
    </w:pPr>
    <w:rPr>
      <w:rFonts w:ascii="Arial" w:cs="Arial" w:eastAsia="Arial" w:hAnsi="Arial"/>
      <w:b/>
      <w:bCs/>
      <w:color w:val="0E5C4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2026-06-10T05:35:49.019Z</dcterms:created>
  <dcterms:modified xsi:type="dcterms:W3CDTF">2026-06-10T05:35:49.020Z</dcterms:modified>
</cp:coreProperties>
</file>

<file path=docProps/custom.xml><?xml version="1.0" encoding="utf-8"?>
<Properties xmlns="http://schemas.openxmlformats.org/officeDocument/2006/custom-properties" xmlns:vt="http://schemas.openxmlformats.org/officeDocument/2006/docPropsVTypes"/>
</file>